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20" w:beforeAutospacing="0" w:after="740" w:afterAutospacing="0" w:line="640" w:lineRule="atLeast"/>
        <w:ind w:left="0" w:right="0" w:firstLine="0"/>
        <w:jc w:val="center"/>
        <w:rPr>
          <w:rFonts w:ascii="Microsoft Yahei" w:hAnsi="Microsoft Yahei" w:eastAsia="Microsoft Yahei" w:cs="Microsoft Yahei"/>
          <w:i w:val="0"/>
          <w:iCs w:val="0"/>
          <w:caps w:val="0"/>
          <w:color w:val="000000"/>
          <w:spacing w:val="0"/>
          <w:sz w:val="48"/>
          <w:szCs w:val="48"/>
          <w:u w:val="none"/>
        </w:rPr>
      </w:pPr>
      <w:bookmarkStart w:id="0" w:name="_GoBack"/>
      <w:r>
        <w:rPr>
          <w:rFonts w:hint="default" w:ascii="Microsoft Yahei" w:hAnsi="Microsoft Yahei" w:eastAsia="Microsoft Yahei" w:cs="Microsoft Yahei"/>
          <w:i w:val="0"/>
          <w:iCs w:val="0"/>
          <w:caps w:val="0"/>
          <w:color w:val="000000"/>
          <w:spacing w:val="0"/>
          <w:sz w:val="48"/>
          <w:szCs w:val="48"/>
          <w:u w:val="none"/>
          <w:bdr w:val="none" w:color="auto" w:sz="0" w:space="0"/>
        </w:rPr>
        <w:t>关于可转换公司债券适当性管理相关事项的通知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999999"/>
          <w:spacing w:val="0"/>
          <w:kern w:val="0"/>
          <w:sz w:val="28"/>
          <w:szCs w:val="28"/>
          <w:u w:val="none"/>
          <w:lang w:val="en-US" w:eastAsia="zh-CN" w:bidi="ar"/>
        </w:rPr>
        <w:t>时间：2022-06-17 来源：上海证券交易所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上证发〔2022〕91号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各市场参与人：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为保护投资者合法权益，维护证券市场秩序，根据《可转换公司债券管理办法》等相关规定，经中国证监会批准，上海证券交易所（以下简称本所）现就上市公司可转换公司债券（以下简称可转债）适当性管理相关事项通知如下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一、会员应当建立可转债适当性管理制度，评估投资者的风险认知程度和承受能力，向投资者全面介绍可转债特征和制度规则，充分揭示投资风险。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投资者应当充分知悉和了解可转债相关风险事项、法律法规和本所业务规则，结合自身风险认知程度和承受能力，审慎判断是否参与相关业务。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二、个人投资者参与向不特定对象发行的可转债申购、交易，应当同时符合下列条件：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（一）申请权限开通前 20 个交易日证券账户及资金账户内的资产日均不低于人民币 10 万元（不包括该投资者通过融资融券融入的资金和证券）；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（二）参与证券交易24个月以上。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本通知施行前已开通向不特定对象发行的可转债交易权限，且未销户的个人投资者，不适用前款规定。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三、普通投资者参与向不特定对象发行的可转债申购、交易的，应当以纸面或者电子方式签署《向不特定对象发行的可转换公司债券投资风险揭示书》。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四、参与向特定对象发行的可转债转让的投资者，应当为符合《证券期货投资者适当性管理办法》规定条件的专业投资者。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五、上市公司控股股东、实际控制人、持有5%以上股份的股东、董事、监事、高级管理人员参与本公司可转债申购、交易、转让的，不适用本通知第二条至第四条的规定。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六、会员应当认真落实本通知各项要求，尽快完成相关技术改造。在技术改造完成前，会员应当通过合理方式办理可转债权限开通，确保投资者权利不受影响。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七、本通知自2022年6月18日起实施。本所其他业务规则与本通知规定不一致的，以本通知为准。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特此通知。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jc w:val="right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上海证券交易所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40" w:afterAutospacing="0" w:line="560" w:lineRule="atLeast"/>
        <w:ind w:left="0" w:right="0" w:firstLine="420"/>
        <w:jc w:val="right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二〇二二年六月十七日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64D655C"/>
    <w:rsid w:val="964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2022-12-05T14:16:00Z</dcterms:created>
  <dc:creator>马酉泉</dc:creator>
  <cp:lastModifiedBy>马酉泉</cp:lastModifiedBy>
  <dcterms:modified xsi:type="dcterms:W3CDTF">2022-12-05T14:16:19Z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DEE40A04D1E520DEA28C8D63F429D92C</vt:lpwstr>
  </property>
</Properties>
</file>